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0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2092"/>
        <w:gridCol w:w="1640"/>
        <w:gridCol w:w="1"/>
        <w:gridCol w:w="1475"/>
        <w:gridCol w:w="1137"/>
        <w:gridCol w:w="1371"/>
        <w:gridCol w:w="1527"/>
      </w:tblGrid>
      <w:tr>
        <w:trPr>
          <w:cantSplit w:val="false"/>
        </w:trPr>
        <w:tc>
          <w:tcPr>
            <w:tcW w:w="20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Title (WP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6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151" w:type="dxa"/>
            <w:gridSpan w:val="6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Data Analysis Standards – Started June 2012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Responsible</w:t>
            </w:r>
          </w:p>
        </w:tc>
        <w:tc>
          <w:tcPr>
            <w:tcW w:w="71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E. Farhi &lt;</w:t>
            </w:r>
            <w:hyperlink r:id="rId2">
              <w:r>
                <w:rPr>
                  <w:rStyle w:val="InternetLink"/>
                  <w:rFonts w:cs="Arial" w:ascii="Arial" w:hAnsi="Arial"/>
                  <w:bCs/>
                  <w:sz w:val="20"/>
                  <w:szCs w:val="20"/>
                </w:rPr>
                <w:t>farhi@ill.fr</w:t>
              </w:r>
            </w:hyperlink>
            <w:r>
              <w:rPr>
                <w:rFonts w:cs="Arial" w:ascii="Arial" w:hAnsi="Arial"/>
                <w:bCs/>
                <w:sz w:val="20"/>
                <w:szCs w:val="20"/>
              </w:rPr>
              <w:t>&gt; (+33) 476 207 135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Period </w:t>
            </w:r>
          </w:p>
        </w:tc>
        <w:tc>
          <w:tcPr>
            <w:tcW w:w="71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Month 19-30 (Dec 2013-Nov 2014)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Activity type</w:t>
            </w:r>
          </w:p>
        </w:tc>
        <w:tc>
          <w:tcPr>
            <w:tcW w:w="7151" w:type="dxa"/>
            <w:gridSpan w:val="6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insideH w:val="single" w:sz="12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Coord / RTD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Tasks </w:t>
            </w:r>
          </w:p>
        </w:tc>
        <w:tc>
          <w:tcPr>
            <w:tcW w:w="7151" w:type="dxa"/>
            <w:gridSpan w:val="6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D6.2 “Report on solutions for developing a common software infrastructure” </w:t>
            </w:r>
          </w:p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D6.3 “Prototype software in chosen solution” </w:t>
            </w:r>
          </w:p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D6.4 “Report on evaluation of prototype software”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Deviations from Description of work (Annex 1) &amp; corrective action</w:t>
            </w:r>
          </w:p>
        </w:tc>
        <w:tc>
          <w:tcPr>
            <w:tcW w:w="7151" w:type="dxa"/>
            <w:gridSpan w:val="6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insideH w:val="single" w:sz="12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The allocated PM have allowed to recruit a trained staff, who had to learn how to develop in the Mantid Framework. This learning period turned out to be much longer than expected due to the software complexity. </w:t>
            </w:r>
          </w:p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As a consequence, in order to </w:t>
            </w:r>
            <w:r>
              <w:rPr>
                <w:rFonts w:cs="Arial" w:ascii="Arial" w:hAnsi="Arial"/>
                <w:bCs/>
                <w:sz w:val="20"/>
                <w:szCs w:val="20"/>
              </w:rPr>
              <w:t>ensure that</w:t>
            </w:r>
            <w:r>
              <w:rPr>
                <w:rFonts w:cs="Arial" w:ascii="Arial" w:hAnsi="Arial"/>
                <w:bCs/>
                <w:sz w:val="20"/>
                <w:szCs w:val="20"/>
              </w:rPr>
              <w:t xml:space="preserve"> the overall project objectives </w:t>
            </w:r>
            <w:r>
              <w:rPr>
                <w:rFonts w:cs="Arial" w:ascii="Arial" w:hAnsi="Arial"/>
                <w:bCs/>
                <w:sz w:val="20"/>
                <w:szCs w:val="20"/>
              </w:rPr>
              <w:t>would be met</w:t>
            </w:r>
            <w:r>
              <w:rPr>
                <w:rFonts w:cs="Arial" w:ascii="Arial" w:hAnsi="Arial"/>
                <w:bCs/>
                <w:sz w:val="20"/>
                <w:szCs w:val="20"/>
              </w:rPr>
              <w:t xml:space="preserve">, </w:t>
            </w:r>
            <w:r>
              <w:rPr>
                <w:rFonts w:cs="Arial" w:ascii="Arial" w:hAnsi="Arial"/>
                <w:bCs/>
                <w:sz w:val="20"/>
                <w:szCs w:val="20"/>
              </w:rPr>
              <w:t>the effort has been re-focused towards the “prototype” (D6.3)</w:t>
            </w:r>
            <w:r>
              <w:rPr>
                <w:rFonts w:cs="Arial" w:ascii="Arial" w:hAnsi="Arial"/>
                <w:bCs/>
                <w:sz w:val="20"/>
                <w:szCs w:val="20"/>
              </w:rPr>
              <w:t xml:space="preserve">, leaving the simpler D6.2 aside. Once the learning phase has been completed, the “prototype” code could efficiently be produced, and the timing delay has been </w:t>
            </w:r>
            <w:r>
              <w:rPr>
                <w:rFonts w:cs="Arial" w:ascii="Arial" w:hAnsi="Arial"/>
                <w:bCs/>
                <w:sz w:val="20"/>
                <w:szCs w:val="20"/>
              </w:rPr>
              <w:t>mostly recovered, as well as delayed task D6.2.</w:t>
            </w:r>
            <w:r>
              <w:rPr>
                <w:rFonts w:cs="Arial" w:ascii="Arial" w:hAnsi="Arial"/>
                <w:bCs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Mantid is not the only solution which was initially under evaluation in this project, but in practice it has played a central role to both demonstrate its capabilities, but also some of its weaknesses. The “prototype” (D6.3 and D6.4) is mostly a set of Algorithms for Mantid. Actually, all tasks will be completed within the project allocation.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Deliverable </w:t>
            </w:r>
          </w:p>
        </w:tc>
        <w:tc>
          <w:tcPr>
            <w:tcW w:w="1640" w:type="dxa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Due date</w:t>
            </w:r>
          </w:p>
        </w:tc>
        <w:tc>
          <w:tcPr>
            <w:tcW w:w="5511" w:type="dxa"/>
            <w:gridSpan w:val="5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Expected/ Achieved Date</w:t>
            </w:r>
          </w:p>
        </w:tc>
      </w:tr>
      <w:tr>
        <w:trPr>
          <w:cantSplit w:val="false"/>
        </w:trPr>
        <w:tc>
          <w:tcPr>
            <w:tcW w:w="20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D6.0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D6.1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D6.2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D6.3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D6.4</w:t>
            </w:r>
          </w:p>
        </w:tc>
        <w:tc>
          <w:tcPr>
            <w:tcW w:w="1640" w:type="dxa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Not planned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Aug 2012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Sept 2012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Nov 2013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June 2014</w:t>
            </w:r>
          </w:p>
        </w:tc>
        <w:tc>
          <w:tcPr>
            <w:tcW w:w="5511" w:type="dxa"/>
            <w:gridSpan w:val="5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Delivered </w:t>
            </w:r>
            <w:r>
              <w:rPr>
                <w:rFonts w:cs="Arial" w:ascii="Arial" w:hAnsi="Arial"/>
                <w:bCs/>
                <w:sz w:val="20"/>
                <w:szCs w:val="20"/>
              </w:rPr>
              <w:t>June 2014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Delivered March 2013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Delivered March 2014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Expected June 2014</w:t>
            </w:r>
          </w:p>
          <w:p>
            <w:pPr>
              <w:pStyle w:val="Normal"/>
              <w:spacing w:before="0" w:after="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Expected Sept 2014</w:t>
            </w:r>
          </w:p>
        </w:tc>
      </w:tr>
      <w:tr>
        <w:trPr>
          <w:trHeight w:val="339" w:hRule="atLeast"/>
          <w:cantSplit w:val="false"/>
        </w:trPr>
        <w:tc>
          <w:tcPr>
            <w:tcW w:w="3733" w:type="dxa"/>
            <w:gridSpan w:val="3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spacing w:before="120" w:after="120"/>
              <w:ind w:left="426" w:right="0" w:hanging="36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Total Person Months (PM) allocated to project (including facility contribution) per contributing partner (</w:t>
            </w:r>
            <w:r>
              <w:rPr>
                <w:rFonts w:cs="Arial" w:ascii="Arial" w:hAnsi="Arial"/>
                <w:bCs/>
                <w:sz w:val="20"/>
                <w:szCs w:val="20"/>
              </w:rPr>
              <w:t>Annex 1, Part A, p.96)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120" w:after="120"/>
              <w:ind w:left="426" w:right="0" w:hanging="36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Total staff effort charged to project per contributing partner </w:t>
            </w:r>
            <w:r>
              <w:rPr>
                <w:rFonts w:cs="Arial" w:ascii="Arial" w:hAnsi="Arial"/>
                <w:bCs/>
                <w:sz w:val="20"/>
                <w:szCs w:val="20"/>
              </w:rPr>
              <w:t>(Annex 1, Part B p.32)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120" w:after="120"/>
              <w:ind w:left="426" w:right="0" w:hanging="36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Staff effort charged to project in period (Month n – n+6)</w:t>
            </w:r>
          </w:p>
        </w:tc>
        <w:tc>
          <w:tcPr>
            <w:tcW w:w="1475" w:type="dxa"/>
            <w:tcBorders>
              <w:top w:val="single" w:sz="12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Beneficiary</w:t>
            </w:r>
          </w:p>
        </w:tc>
        <w:tc>
          <w:tcPr>
            <w:tcW w:w="1137" w:type="dxa"/>
            <w:tcBorders>
              <w:top w:val="single" w:sz="12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71" w:type="dxa"/>
            <w:tcBorders>
              <w:top w:val="single" w:sz="12" w:space="0" w:color="000001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527" w:type="dxa"/>
            <w:tcBorders>
              <w:top w:val="single" w:sz="12" w:space="0" w:color="000001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C</w:t>
            </w:r>
          </w:p>
        </w:tc>
      </w:tr>
      <w:tr>
        <w:trPr>
          <w:trHeight w:val="480" w:hRule="atLeast"/>
          <w:cantSplit w:val="false"/>
        </w:trPr>
        <w:tc>
          <w:tcPr>
            <w:tcW w:w="3733" w:type="dxa"/>
            <w:gridSpan w:val="3"/>
            <w:vMerge w:val="continue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120" w:after="120"/>
              <w:ind w:left="426" w:right="0" w:hanging="36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ILL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6</w:t>
            </w:r>
          </w:p>
        </w:tc>
      </w:tr>
      <w:tr>
        <w:trPr>
          <w:cantSplit w:val="false"/>
        </w:trPr>
        <w:tc>
          <w:tcPr>
            <w:tcW w:w="3733" w:type="dxa"/>
            <w:gridSpan w:val="3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Meetings/Conferences/Workshops attended (financed by NMI3)</w:t>
            </w:r>
          </w:p>
        </w:tc>
        <w:tc>
          <w:tcPr>
            <w:tcW w:w="5510" w:type="dxa"/>
            <w:gridSpan w:val="4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insideH w:val="single" w:sz="12" w:space="0" w:color="000001"/>
              <w:right w:val="single" w:sz="12" w:space="0" w:color="000001"/>
              <w:insideV w:val="single" w:sz="12" w:space="0" w:color="000001"/>
            </w:tcBorders>
            <w:shd w:fill="auto" w:val="clear"/>
            <w:tcMar>
              <w:left w:w="117" w:type="dxa"/>
            </w:tcMar>
          </w:tcPr>
          <w:p>
            <w:pPr>
              <w:pStyle w:val="Normal"/>
              <w:spacing w:before="120" w:after="120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Organising a Mantid Tutorial June 2014 (ILL)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440" w:right="1440" w:header="708" w:top="1440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rPr>
        <w:rFonts w:cs="Arial" w:ascii="Arial" w:hAnsi="Arial"/>
        <w:i/>
        <w:sz w:val="24"/>
        <w:szCs w:val="24"/>
        <w:lang w:val="en-US"/>
      </w:rPr>
    </w:pPr>
    <w:r>
      <w:rPr>
        <w:rFonts w:cs="Arial" w:ascii="Arial" w:hAnsi="Arial"/>
        <w:i/>
        <w:sz w:val="24"/>
        <w:szCs w:val="24"/>
        <w:lang w:val="en-US"/>
      </w:rPr>
      <w:t>Intermediate Monitoring Report (every 6 months)</w:t>
      <w:tab/>
      <w:tab/>
      <w:tab/>
    </w:r>
    <w:r>
      <w:rPr>
        <w:rFonts w:cs="Arial" w:ascii="Arial" w:hAnsi="Arial"/>
        <w:i/>
        <w:sz w:val="24"/>
        <w:szCs w:val="24"/>
        <w:lang w:val="en-US"/>
      </w:rPr>
      <w:drawing>
        <wp:inline distT="0" distB="0" distL="0" distR="0">
          <wp:extent cx="895350" cy="428625"/>
          <wp:effectExtent l="0" t="0" r="0" b="0"/>
          <wp:docPr id="0" name="Picture" descr="nmi3Logo3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nmi3Logo3D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sz w:val="22"/>
        <w:szCs w:val="22"/>
        <w:lang w:val="fr-FR" w:eastAsia="fr-FR" w:bidi="ar-SA"/>
      </w:rPr>
    </w:rPrDefault>
    <w:pPrDefault>
      <w:pPr/>
    </w:pPrDefault>
  </w:docDefaults>
  <w:latentStyles w:count="267" w:defUnhideWhenUsed="1" w:defSemiHidden="1" w:defUIPriority="99" w:defQFormat="0" w:defLockedState="0">
    <w:lsdException w:qFormat="1" w:unhideWhenUsed="0" w:semiHidden="0" w:uiPriority="0" w:locked="1" w:name="Normal"/>
    <w:lsdException w:qFormat="1" w:unhideWhenUsed="0" w:semiHidden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unhideWhenUsed="0" w:semiHidden="0" w:uiPriority="0" w:locked="1" w:name="toc 1"/>
    <w:lsdException w:unhideWhenUsed="0" w:semiHidden="0" w:uiPriority="0" w:locked="1" w:name="toc 2"/>
    <w:lsdException w:unhideWhenUsed="0" w:semiHidden="0" w:uiPriority="0" w:locked="1" w:name="toc 3"/>
    <w:lsdException w:unhideWhenUsed="0" w:semiHidden="0" w:uiPriority="0" w:locked="1" w:name="toc 4"/>
    <w:lsdException w:unhideWhenUsed="0" w:semiHidden="0" w:uiPriority="0" w:locked="1" w:name="toc 5"/>
    <w:lsdException w:unhideWhenUsed="0" w:semiHidden="0" w:uiPriority="0" w:locked="1" w:name="toc 6"/>
    <w:lsdException w:unhideWhenUsed="0" w:semiHidden="0" w:uiPriority="0" w:locked="1" w:name="toc 7"/>
    <w:lsdException w:unhideWhenUsed="0" w:semiHidden="0" w:uiPriority="0" w:locked="1" w:name="toc 8"/>
    <w:lsdException w:unhideWhenUsed="0" w:semiHidden="0" w:uiPriority="0" w:locked="1" w:name="toc 9"/>
    <w:lsdException w:qFormat="1" w:uiPriority="0" w:locked="1" w:name="caption"/>
    <w:lsdException w:qFormat="1" w:unhideWhenUsed="0" w:semiHidden="0" w:uiPriority="0" w:locked="1" w:name="Title"/>
    <w:lsdException w:unhideWhenUsed="0" w:semiHidden="0" w:uiPriority="0" w:locked="1" w:name="Default Paragraph Font"/>
    <w:lsdException w:qFormat="1" w:unhideWhenUsed="0" w:semiHidden="0" w:uiPriority="0" w:locked="1" w:name="Subtitle"/>
    <w:lsdException w:qFormat="1" w:unhideWhenUsed="0" w:semiHidden="0" w:uiPriority="0" w:locked="1" w:name="Strong"/>
    <w:lsdException w:qFormat="1" w:unhideWhenUsed="0" w:semiHidden="0" w:uiPriority="0" w:locked="1" w:name="Emphasis"/>
    <w:lsdException w:unhideWhenUsed="0" w:semiHidden="0" w:uiPriority="0" w:locked="1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306c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val="en-GB" w:eastAsia="en-US" w:bidi="ar-SA"/>
    </w:rPr>
  </w:style>
  <w:style w:type="paragraph" w:styleId="Heading1">
    <w:name w:val="Heading 1"/>
    <w:basedOn w:val="Heading"/>
    <w:pPr/>
    <w:rPr/>
  </w:style>
  <w:style w:type="paragraph" w:styleId="Heading2">
    <w:name w:val="Heading 2"/>
    <w:basedOn w:val="Heading"/>
    <w:pPr/>
    <w:rPr/>
  </w:style>
  <w:style w:type="paragraph" w:styleId="Heading3">
    <w:name w:val="Heading 3"/>
    <w:basedOn w:val="Heading"/>
    <w:pPr/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erChar" w:customStyle="1">
    <w:name w:val="Header Char"/>
    <w:uiPriority w:val="99"/>
    <w:semiHidden/>
    <w:link w:val="Header"/>
    <w:locked/>
    <w:rsid w:val="009306ca"/>
    <w:basedOn w:val="DefaultParagraphFont"/>
    <w:rPr>
      <w:rFonts w:ascii="Calibri" w:hAnsi="Calibri" w:eastAsia="Times New Roman" w:cs="Times New Roman"/>
    </w:rPr>
  </w:style>
  <w:style w:type="character" w:styleId="FooterChar" w:customStyle="1">
    <w:name w:val="Footer Char"/>
    <w:uiPriority w:val="99"/>
    <w:semiHidden/>
    <w:link w:val="Footer"/>
    <w:locked/>
    <w:rsid w:val="009306ca"/>
    <w:basedOn w:val="DefaultParagraphFont"/>
    <w:rPr>
      <w:rFonts w:ascii="Calibri" w:hAnsi="Calibri" w:eastAsia="Times New Roman" w:cs="Times New Roman"/>
    </w:rPr>
  </w:style>
  <w:style w:type="character" w:styleId="BalloonTextChar" w:customStyle="1">
    <w:name w:val="Balloon Text Char"/>
    <w:uiPriority w:val="99"/>
    <w:semiHidden/>
    <w:link w:val="BalloonText"/>
    <w:locked/>
    <w:rsid w:val="001d2636"/>
    <w:basedOn w:val="DefaultParagraphFont"/>
    <w:rPr>
      <w:rFonts w:ascii="Tahoma" w:hAnsi="Tahoma" w:eastAsia="Times New Roman" w:cs="Tahoma"/>
      <w:sz w:val="16"/>
      <w:szCs w:val="16"/>
    </w:rPr>
  </w:style>
  <w:style w:type="character" w:styleId="PlaceholderText">
    <w:name w:val="Placeholder Text"/>
    <w:uiPriority w:val="99"/>
    <w:semiHidden/>
    <w:rsid w:val="009f2c8b"/>
    <w:basedOn w:val="DefaultParagraphFont"/>
    <w:rPr>
      <w:rFonts w:cs="Times New Roman"/>
      <w:color w:val="808080"/>
    </w:rPr>
  </w:style>
  <w:style w:type="character" w:styleId="ListLabel1">
    <w:name w:val="ListLabel 1"/>
    <w:rPr>
      <w:rFonts w:cs="Times New Roman"/>
      <w:b/>
    </w:rPr>
  </w:style>
  <w:style w:type="character" w:styleId="ListLabel2">
    <w:name w:val="ListLabel 2"/>
    <w:rPr>
      <w:rFonts w:cs="Times New Roma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semiHidden/>
    <w:link w:val="HeaderChar"/>
    <w:rsid w:val="009306ca"/>
    <w:basedOn w:val="Normal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uiPriority w:val="99"/>
    <w:semiHidden/>
    <w:link w:val="FooterChar"/>
    <w:rsid w:val="009306ca"/>
    <w:basedOn w:val="Normal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BalloonText">
    <w:name w:val="Balloon Text"/>
    <w:uiPriority w:val="99"/>
    <w:semiHidden/>
    <w:link w:val="BalloonTextChar"/>
    <w:rsid w:val="001d2636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uiPriority w:val="99"/>
    <w:qFormat/>
    <w:rsid w:val="007678d4"/>
    <w:basedOn w:val="Normal"/>
    <w:pPr>
      <w:ind w:left="720" w:right="0" w:hanging="0"/>
    </w:pPr>
    <w:rPr/>
  </w:style>
  <w:style w:type="paragraph" w:styleId="Quotations">
    <w:name w:val="Quotations"/>
    <w:basedOn w:val="Normal"/>
    <w:pPr/>
    <w:rPr/>
  </w:style>
  <w:style w:type="paragraph" w:styleId="Title">
    <w:name w:val="Title"/>
    <w:basedOn w:val="Heading"/>
    <w:pPr/>
    <w:rPr/>
  </w:style>
  <w:style w:type="paragraph" w:styleId="Subtitle">
    <w:name w:val="Subtitle"/>
    <w:basedOn w:val="Heading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arhi@ill.fr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2011-10-14T11:20:00Z</dcterms:created>
  <dc:creator>Miriam Forster</dc:creator>
  <dc:language>en-US</dc:language>
  <cp:lastModifiedBy>Miriam Forster</cp:lastModifiedBy>
  <cp:lastPrinted>2009-06-23T09:05:00Z</cp:lastPrinted>
  <dcterms:modified xsi:type="dcterms:W3CDTF">2011-10-14T11:57:00Z</dcterms:modified>
  <cp:revision>5</cp:revision>
  <dc:title>JRA Title (WP#)</dc:title>
</cp:coreProperties>
</file>